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6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6"/>
          <w:shd w:fill="auto" w:val="clear"/>
        </w:rPr>
        <w:t xml:space="preserve">Zásady ochrany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6"/>
          <w:shd w:fill="auto" w:val="clear"/>
        </w:rPr>
        <w:t xml:space="preserve">ů</w:t>
      </w:r>
    </w:p>
    <w:p>
      <w:pPr>
        <w:widowControl w:val="false"/>
        <w:spacing w:before="0" w:after="0" w:line="276"/>
        <w:ind w:right="0" w:left="0" w:firstLine="0"/>
        <w:jc w:val="left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Základní ustanovení</w:t>
      </w:r>
    </w:p>
    <w:p>
      <w:pPr>
        <w:widowControl w:val="false"/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Správcem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podle čl. 4 bod 7 nař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ízení Evropského parlamentu a Rady (EU) 2016/679 o ochran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fyzick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ých osob v souvislosti se zpracováním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a o voln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ém pohybu 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ěchto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(d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ále jen: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GDPR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”) je Randaal servis s.r.o.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I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 21800961 se s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ídlem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Kurzova 2222/16, Praha 155 00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(dále jen: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„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spr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ávce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“).</w:t>
      </w:r>
    </w:p>
    <w:p>
      <w:pPr>
        <w:widowControl w:val="false"/>
        <w:numPr>
          <w:ilvl w:val="0"/>
          <w:numId w:val="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Kontaktní údaje správce jsou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adresa: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Kurzova 2222/16, Praha 155 00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email: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info@randaal.cz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telefon: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777 690 006</w:t>
      </w:r>
    </w:p>
    <w:p>
      <w:pPr>
        <w:widowControl w:val="false"/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Osobními údaji se rozumí ve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šker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informace o identifikované nebo identifikovatelné fyzické osob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ě; identifikovatelnou fyzickou osobou je fyzick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 osoba, kterou lze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ímo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 nepř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ímo identifikovat, zejména odkazem na ur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 identifikátor, nap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íklad jméno, identifika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íslo, loka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údaje, sí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ťov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 identifikátor nebo na jeden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 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íce zvlá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štn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prvk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fyzick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é, fyziologické, genetické, psychické, ekonomické, kulturní nebo spole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čensk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identity této fyzické osoby.</w:t>
      </w:r>
    </w:p>
    <w:p>
      <w:pPr>
        <w:widowControl w:val="false"/>
        <w:numPr>
          <w:ilvl w:val="0"/>
          <w:numId w:val="6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nejmenoval / jmenoval pov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ěřence pro ochranu 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ů. Kontaktn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ími údaji pov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ěřence jsou: 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II.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Zdroje a kategorie zpracovávaných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</w:t>
      </w:r>
    </w:p>
    <w:p>
      <w:pPr>
        <w:widowControl w:val="false"/>
        <w:numPr>
          <w:ilvl w:val="0"/>
          <w:numId w:val="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zpracovává osobní údaje, které jste mu poskytl/a nebo osobní údaje, které správce získal na základ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plněn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Va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objednávky.</w:t>
      </w:r>
    </w:p>
    <w:p>
      <w:pPr>
        <w:widowControl w:val="false"/>
        <w:numPr>
          <w:ilvl w:val="0"/>
          <w:numId w:val="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zpracovává Va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še identifikačn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kontaktní údaje a údaje nezbytné pro pln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smlouvy. 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III.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Zákonný d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ůvod a 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čel zpracov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ání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Zákonným 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ůvodem zpracov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je 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pln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smlouvy mezi Vámi a správcem podle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6 odst. 1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ísm. b) GDPR,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oprávn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 zájem správce na poskytování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ímého marketingu (zejména pro zasílání obchodních sd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newsletter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ů) podle čl. 6 odst. 1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ísm. f) GDPR,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Vá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 souhlas se zpracov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áním pro 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čely poskytov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ímého marketingu (zejména pro zasílání obchodních sd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newsletter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ů) podle čl. 6 odst. 1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ísm. a) GDPR ve spojení s § 7 odst. 2 zákona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č. 480/2004 Sb., o někter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žb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ách informa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spole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čnosti v př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ě, že nedošlo k objedn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ávce zbo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nebo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žby. 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čelem zpracov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je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vy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ízení Va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objednávky a výkon práv a povinností vyplývajících ze smluvního vztahu mezi Vámi a správcem;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ři objedn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ávce jsou vy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žadov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ány osobní údaje, které jsou nutné pro úsp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ěšn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vy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ízení objednávky (jméno a adresa, kontakt), poskytnutí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je nutn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ým po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žadavkem pro uzavřen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pln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smlouvy, bez poskytnutí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nen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mo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smlouvu uzav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ít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 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ze strany správce plnit,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zasílání obchodních sd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ělen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a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činěn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dal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marketingových aktivit. </w:t>
      </w:r>
    </w:p>
    <w:p>
      <w:pPr>
        <w:widowControl w:val="false"/>
        <w:numPr>
          <w:ilvl w:val="0"/>
          <w:numId w:val="12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Ze strany správce nedochází / dochází k automatickému individuálnímu rozhodování ve smyslu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22 GDPR. S takov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ým zpracováním jste poskytl/a sv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ůj 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ýslovný souhlas. 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IV.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Doba uchovávání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</w:t>
      </w:r>
    </w:p>
    <w:p>
      <w:pPr>
        <w:widowControl w:val="false"/>
        <w:numPr>
          <w:ilvl w:val="0"/>
          <w:numId w:val="1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uchovává osobní údaje </w:t>
      </w:r>
    </w:p>
    <w:p>
      <w:pPr>
        <w:widowControl w:val="false"/>
        <w:numPr>
          <w:ilvl w:val="0"/>
          <w:numId w:val="1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 dobu nezbytnou k výkonu práv a povinností vyplývajících ze smluvního vztahu mezi Vámi a správcem a uplat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ňov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ání nárok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z těchto smluvn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vztah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(po dobu 15 let od ukončen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smluvního vztahu). </w:t>
      </w:r>
    </w:p>
    <w:p>
      <w:pPr>
        <w:widowControl w:val="false"/>
        <w:numPr>
          <w:ilvl w:val="0"/>
          <w:numId w:val="1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 dobu, ne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 je odvol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án souhlas se zpracováním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pro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čely marketingu, nejd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éle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 let, jsou-li osobní údaje zpracovávány na základ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souhlasu. </w:t>
      </w:r>
    </w:p>
    <w:p>
      <w:pPr>
        <w:widowControl w:val="false"/>
        <w:numPr>
          <w:ilvl w:val="0"/>
          <w:numId w:val="1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 uplynutí doby uchovávání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spr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ávce osobní údaje vyma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že. 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íjemci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 (subdodavatel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é správce)</w:t>
      </w:r>
    </w:p>
    <w:p>
      <w:pPr>
        <w:widowControl w:val="false"/>
        <w:numPr>
          <w:ilvl w:val="0"/>
          <w:numId w:val="2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íjemci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jsou osoby </w:t>
      </w:r>
    </w:p>
    <w:p>
      <w:pPr>
        <w:widowControl w:val="false"/>
        <w:numPr>
          <w:ilvl w:val="0"/>
          <w:numId w:val="24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podílející se na dodání zbo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/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žeb / realizaci plateb na z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áklad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smlouvy, </w:t>
      </w:r>
    </w:p>
    <w:p>
      <w:pPr>
        <w:widowControl w:val="false"/>
        <w:numPr>
          <w:ilvl w:val="0"/>
          <w:numId w:val="24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podílející se na zaji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štěn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provozu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žeb,</w:t>
      </w:r>
    </w:p>
    <w:p>
      <w:pPr>
        <w:widowControl w:val="false"/>
        <w:numPr>
          <w:ilvl w:val="0"/>
          <w:numId w:val="24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zaji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šťuj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ící marketingové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žby.</w:t>
      </w:r>
    </w:p>
    <w:p>
      <w:pPr>
        <w:widowControl w:val="false"/>
        <w:numPr>
          <w:ilvl w:val="0"/>
          <w:numId w:val="2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nemá / má v úmyslu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ředat 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údaje do 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zem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(do země mimo EU) nebo mezin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árodní organizaci.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íjemci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ve třet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zemích jsou poskytovatelé mailingových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žeb / cloudov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ých slu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žeb. 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Va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še pr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áva</w:t>
      </w:r>
    </w:p>
    <w:p>
      <w:pPr>
        <w:widowControl w:val="false"/>
        <w:numPr>
          <w:ilvl w:val="0"/>
          <w:numId w:val="2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Za podmínek stanovených v GDPR máte </w:t>
      </w:r>
    </w:p>
    <w:p>
      <w:pPr>
        <w:widowControl w:val="false"/>
        <w:numPr>
          <w:ilvl w:val="0"/>
          <w:numId w:val="2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na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ístup ke svým osobním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ům dle čl. 15 GDPR, </w:t>
      </w:r>
    </w:p>
    <w:p>
      <w:pPr>
        <w:widowControl w:val="false"/>
        <w:numPr>
          <w:ilvl w:val="0"/>
          <w:numId w:val="2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opravu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dle čl. 16 GDPR, popř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omezen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zpracování dle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18 GDPR. </w:t>
      </w:r>
    </w:p>
    <w:p>
      <w:pPr>
        <w:widowControl w:val="false"/>
        <w:numPr>
          <w:ilvl w:val="0"/>
          <w:numId w:val="2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na výmaz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dle čl. 17 GDPR. </w:t>
      </w:r>
    </w:p>
    <w:p>
      <w:pPr>
        <w:widowControl w:val="false"/>
        <w:numPr>
          <w:ilvl w:val="0"/>
          <w:numId w:val="2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vznést námitku proti zpracování dle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21 GDPR a </w:t>
      </w:r>
    </w:p>
    <w:p>
      <w:pPr>
        <w:widowControl w:val="false"/>
        <w:numPr>
          <w:ilvl w:val="0"/>
          <w:numId w:val="2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na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řenositelnost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dle čl. 20 GDPR. </w:t>
      </w:r>
    </w:p>
    <w:p>
      <w:pPr>
        <w:widowControl w:val="false"/>
        <w:numPr>
          <w:ilvl w:val="0"/>
          <w:numId w:val="29"/>
        </w:numPr>
        <w:spacing w:before="0" w:after="0" w:line="276"/>
        <w:ind w:right="0" w:left="144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právo odvolat souhlas se zpracováním písemn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nebo elektronicky na adresu nebo email spr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ávce uvedený v 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čl. III těchto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ínek. </w:t>
      </w:r>
    </w:p>
    <w:p>
      <w:pPr>
        <w:widowControl w:val="false"/>
        <w:numPr>
          <w:ilvl w:val="0"/>
          <w:numId w:val="29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Dále máte právo podat stí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žnost u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řadu pro ochranu 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v př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ípad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ě, že se domn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íváte,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 bylo porušeno Vaš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právo na ochranu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ů.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VII.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Podmínky zabezpe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í osobních údaj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ů</w:t>
      </w:r>
    </w:p>
    <w:p>
      <w:pPr>
        <w:widowControl w:val="false"/>
        <w:numPr>
          <w:ilvl w:val="0"/>
          <w:numId w:val="3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prohla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šuje, že přijal vešker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 vhodná technická a organiza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opat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k zabezpe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ů.</w:t>
      </w:r>
    </w:p>
    <w:p>
      <w:pPr>
        <w:widowControl w:val="false"/>
        <w:numPr>
          <w:ilvl w:val="0"/>
          <w:numId w:val="3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řijal technick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 opat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k zabezpe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datových úlo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žišť a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úlo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žišť 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v listinn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podob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ě, zejm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éna …</w:t>
      </w:r>
    </w:p>
    <w:p>
      <w:pPr>
        <w:widowControl w:val="false"/>
        <w:numPr>
          <w:ilvl w:val="0"/>
          <w:numId w:val="34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prohla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šuje, že k osobn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ům maj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ístup pouze jím pov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ěřen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 osoby.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VIII.</w:t>
      </w:r>
    </w:p>
    <w:p>
      <w:pPr>
        <w:widowControl w:val="false"/>
        <w:spacing w:before="0" w:after="0" w:line="276"/>
        <w:ind w:right="0" w:left="0" w:firstLine="0"/>
        <w:jc w:val="center"/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Záv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ěrečn</w:t>
      </w:r>
      <w:r>
        <w:rPr>
          <w:rFonts w:ascii="Calibri" w:hAnsi="Calibri" w:cs="Calibri" w:eastAsia="Calibri"/>
          <w:b/>
          <w:color w:val="00000A"/>
          <w:spacing w:val="0"/>
          <w:position w:val="0"/>
          <w:sz w:val="24"/>
          <w:shd w:fill="auto" w:val="clear"/>
        </w:rPr>
        <w:t xml:space="preserve">á ustanovení</w:t>
      </w:r>
    </w:p>
    <w:p>
      <w:pPr>
        <w:widowControl w:val="false"/>
        <w:numPr>
          <w:ilvl w:val="0"/>
          <w:numId w:val="3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Odesláním objednávky z internetového objednávkového formulá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 potvrzujete, že jste sezn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ámen/a s podmínkami ochrany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a že je v cel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ém rozsahu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řij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ímáte.</w:t>
      </w:r>
    </w:p>
    <w:p>
      <w:pPr>
        <w:widowControl w:val="false"/>
        <w:numPr>
          <w:ilvl w:val="0"/>
          <w:numId w:val="3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 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ěmito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ínkami souhlasíte za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škrtnut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 souhlasu prost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řednictv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 internetového formulá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ře. Zaškrtnut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 souhlasu potvrzujete, 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že jste sezn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ámen/a s podmínkami ochrany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a že je v cel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ém rozsahu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řij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ímáte.</w:t>
      </w:r>
    </w:p>
    <w:p>
      <w:pPr>
        <w:widowControl w:val="false"/>
        <w:numPr>
          <w:ilvl w:val="0"/>
          <w:numId w:val="37"/>
        </w:numPr>
        <w:spacing w:before="0" w:after="0" w:line="276"/>
        <w:ind w:right="0" w:left="720" w:hanging="36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Správce je oprávn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 tyto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ínky zm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ěnit. Novou verzi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ínek ochrany osobních údaj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ů zveřejn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 na svých internetových stránkách, p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ř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ípadn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ě V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ám za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šle novou verzi těchto podm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ínek na e-mailovou adresu, kterou jste správci poskytl/a.</w:t>
      </w: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</w:p>
    <w:p>
      <w:pPr>
        <w:widowControl w:val="false"/>
        <w:spacing w:before="0" w:after="0" w:line="276"/>
        <w:ind w:right="0" w:left="0" w:firstLine="0"/>
        <w:jc w:val="both"/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Tyto podmínky nabývají ú</w:t>
      </w:r>
      <w:r>
        <w:rPr>
          <w:rFonts w:ascii="Calibri" w:hAnsi="Calibri" w:cs="Calibri" w:eastAsia="Calibri"/>
          <w:color w:val="00000A"/>
          <w:spacing w:val="0"/>
          <w:position w:val="0"/>
          <w:sz w:val="24"/>
          <w:shd w:fill="auto" w:val="clear"/>
        </w:rPr>
        <w:t xml:space="preserve">činnosti dnem 25.5.2018.</w:t>
      </w:r>
    </w:p>
    <w:p>
      <w:pPr>
        <w:widowControl w:val="false"/>
        <w:spacing w:before="0" w:after="0" w:line="276"/>
        <w:ind w:right="0" w:left="0" w:firstLine="624"/>
        <w:jc w:val="left"/>
        <w:rPr>
          <w:rFonts w:ascii="Calibri" w:hAnsi="Calibri" w:cs="Calibri" w:eastAsia="Calibri"/>
          <w:color w:val="00000A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abstractNum w:abstractNumId="48">
    <w:lvl w:ilvl="0">
      <w:start w:val="1"/>
      <w:numFmt w:val="bullet"/>
      <w:lvlText w:val="•"/>
    </w:lvl>
  </w:abstractNum>
  <w:num w:numId="4">
    <w:abstractNumId w:val="48"/>
  </w:num>
  <w:num w:numId="6">
    <w:abstractNumId w:val="42"/>
  </w:num>
  <w:num w:numId="9">
    <w:abstractNumId w:val="36"/>
  </w:num>
  <w:num w:numId="12">
    <w:abstractNumId w:val="30"/>
  </w:num>
  <w:num w:numId="19">
    <w:abstractNumId w:val="24"/>
  </w:num>
  <w:num w:numId="24">
    <w:abstractNumId w:val="18"/>
  </w:num>
  <w:num w:numId="29">
    <w:abstractNumId w:val="12"/>
  </w:num>
  <w:num w:numId="34">
    <w:abstractNumId w:val="6"/>
  </w:num>
  <w:num w:numId="37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